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仿宋"/>
          <w:color w:val="000000"/>
          <w:sz w:val="28"/>
          <w:szCs w:val="28"/>
        </w:rPr>
      </w:pPr>
    </w:p>
    <w:tbl>
      <w:tblPr>
        <w:tblStyle w:val="3"/>
        <w:tblpPr w:leftFromText="180" w:rightFromText="180" w:vertAnchor="text" w:horzAnchor="page" w:tblpXSpec="center" w:tblpY="78"/>
        <w:tblOverlap w:val="never"/>
        <w:tblW w:w="90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430"/>
        <w:gridCol w:w="2280"/>
        <w:gridCol w:w="2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0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附件1：</w:t>
            </w:r>
          </w:p>
        </w:tc>
        <w:tc>
          <w:tcPr>
            <w:tcW w:w="2430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280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20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9010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武汉园林绿化建设发展有限公司社会中介机构备选库申报表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41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单位名称：（公章）</w:t>
            </w:r>
          </w:p>
        </w:tc>
        <w:tc>
          <w:tcPr>
            <w:tcW w:w="228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注册地址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法定代表人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注册时间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办公地址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注册资金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从业年限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联系人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电话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5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基本</w:t>
            </w:r>
            <w:r>
              <w:rPr>
                <w:rFonts w:ascii="仿宋" w:hAnsi="仿宋" w:eastAsia="仿宋" w:cs="宋体"/>
                <w:kern w:val="0"/>
                <w:sz w:val="24"/>
              </w:rPr>
              <w:t>情况</w:t>
            </w:r>
          </w:p>
        </w:tc>
        <w:tc>
          <w:tcPr>
            <w:tcW w:w="7030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专职从业人员及评估师数量</w:t>
            </w:r>
          </w:p>
        </w:tc>
        <w:tc>
          <w:tcPr>
            <w:tcW w:w="7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（盖章）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年  月  日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br w:type="page"/>
      </w:r>
    </w:p>
    <w:p>
      <w:pPr>
        <w:spacing w:line="400" w:lineRule="exact"/>
        <w:jc w:val="lef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 xml:space="preserve">附件2：                                            </w:t>
      </w:r>
    </w:p>
    <w:p>
      <w:pPr>
        <w:widowControl/>
        <w:spacing w:line="240" w:lineRule="auto"/>
        <w:ind w:firstLine="0" w:firstLineChars="0"/>
        <w:jc w:val="center"/>
        <w:rPr>
          <w:rFonts w:hint="eastAsia" w:ascii="仿宋" w:hAnsi="仿宋" w:eastAsia="仿宋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auto"/>
          <w:kern w:val="0"/>
          <w:sz w:val="28"/>
          <w:szCs w:val="28"/>
        </w:rPr>
        <w:t>供应商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val="en-US" w:eastAsia="zh-CN"/>
        </w:rPr>
        <w:t>资格</w:t>
      </w:r>
      <w:r>
        <w:rPr>
          <w:rFonts w:hint="eastAsia" w:ascii="仿宋" w:hAnsi="仿宋" w:eastAsia="仿宋" w:cs="宋体"/>
          <w:b/>
          <w:bCs/>
          <w:color w:val="auto"/>
          <w:kern w:val="0"/>
          <w:sz w:val="28"/>
          <w:szCs w:val="28"/>
        </w:rPr>
        <w:t>评分表</w:t>
      </w:r>
    </w:p>
    <w:p>
      <w:pPr>
        <w:spacing w:line="480" w:lineRule="exact"/>
        <w:rPr>
          <w:rFonts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项目名称：园发公司评估中介机构备选库项目</w:t>
      </w:r>
    </w:p>
    <w:tbl>
      <w:tblPr>
        <w:tblStyle w:val="3"/>
        <w:tblW w:w="142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652"/>
        <w:gridCol w:w="1605"/>
        <w:gridCol w:w="2040"/>
        <w:gridCol w:w="2640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供应商名称</w:t>
            </w:r>
          </w:p>
        </w:tc>
        <w:tc>
          <w:tcPr>
            <w:tcW w:w="12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格</w:t>
            </w:r>
            <w:r>
              <w:rPr>
                <w:rFonts w:hint="eastAsia" w:ascii="仿宋" w:hAnsi="仿宋" w:eastAsia="仿宋" w:cs="仿宋"/>
                <w:sz w:val="24"/>
              </w:rPr>
              <w:t>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  <w:jc w:val="center"/>
        </w:trPr>
        <w:tc>
          <w:tcPr>
            <w:tcW w:w="21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168" w:line="520" w:lineRule="exact"/>
              <w:rPr>
                <w:rFonts w:ascii="仿宋" w:hAnsi="仿宋" w:eastAsia="仿宋" w:cs="仿宋"/>
                <w:kern w:val="2"/>
              </w:rPr>
            </w:pPr>
            <w:r>
              <w:rPr>
                <w:rFonts w:hint="eastAsia" w:ascii="仿宋" w:hAnsi="仿宋" w:eastAsia="仿宋" w:cs="仿宋"/>
                <w:kern w:val="2"/>
              </w:rPr>
              <w:t>在中国境内，营业执照处于有效期内，具有独立法人资格的社会中介机构。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单位专职从业人员不少于10人。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</w:rPr>
              <w:t>二手车鉴定评估师不少于5人。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有健全的组织机构和内部管理制度，近三年具有旧机动车评估业绩。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能够遵守</w:t>
            </w:r>
            <w:r>
              <w:rPr>
                <w:rFonts w:hint="eastAsia" w:ascii="仿宋" w:hAnsi="仿宋" w:eastAsia="仿宋" w:cs="仿宋"/>
                <w:kern w:val="1"/>
                <w:sz w:val="24"/>
              </w:rPr>
              <w:t>《二手车流通管理办法》和《二手车鉴定评估技术规范》</w:t>
            </w:r>
            <w:r>
              <w:rPr>
                <w:rFonts w:hint="eastAsia" w:ascii="仿宋" w:hAnsi="仿宋" w:eastAsia="仿宋" w:cs="仿宋"/>
                <w:sz w:val="24"/>
              </w:rPr>
              <w:t>，履行旧机动车评估程序，综合实力强、企业诚信度高、有良好的社会声誉，近三年内无违法违纪行为。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color w:val="000000"/>
                <w:sz w:val="20"/>
                <w:szCs w:val="21"/>
                <w:highlight w:val="yellow"/>
              </w:rPr>
            </w:pPr>
          </w:p>
        </w:tc>
        <w:tc>
          <w:tcPr>
            <w:tcW w:w="26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0"/>
                <w:szCs w:val="21"/>
                <w:highlight w:val="yellow"/>
              </w:rPr>
            </w:pPr>
          </w:p>
        </w:tc>
        <w:tc>
          <w:tcPr>
            <w:tcW w:w="16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color w:val="000000"/>
                <w:sz w:val="20"/>
                <w:szCs w:val="21"/>
                <w:highlight w:val="yellow"/>
              </w:rPr>
            </w:pPr>
          </w:p>
        </w:tc>
        <w:tc>
          <w:tcPr>
            <w:tcW w:w="20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color w:val="000000"/>
                <w:sz w:val="20"/>
                <w:szCs w:val="21"/>
                <w:highlight w:val="yellow"/>
              </w:rPr>
            </w:pPr>
          </w:p>
        </w:tc>
        <w:tc>
          <w:tcPr>
            <w:tcW w:w="26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color w:val="000000"/>
                <w:sz w:val="20"/>
                <w:szCs w:val="21"/>
                <w:highlight w:val="yellow"/>
              </w:rPr>
            </w:pPr>
          </w:p>
        </w:tc>
        <w:tc>
          <w:tcPr>
            <w:tcW w:w="31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color w:val="000000"/>
                <w:sz w:val="2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color w:val="000000"/>
                <w:sz w:val="20"/>
                <w:szCs w:val="21"/>
                <w:highlight w:val="yellow"/>
              </w:rPr>
            </w:pPr>
          </w:p>
        </w:tc>
        <w:tc>
          <w:tcPr>
            <w:tcW w:w="26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0"/>
                <w:szCs w:val="21"/>
                <w:highlight w:val="yellow"/>
              </w:rPr>
            </w:pPr>
          </w:p>
        </w:tc>
        <w:tc>
          <w:tcPr>
            <w:tcW w:w="16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color w:val="000000"/>
                <w:sz w:val="20"/>
                <w:szCs w:val="21"/>
                <w:highlight w:val="yellow"/>
              </w:rPr>
            </w:pPr>
          </w:p>
        </w:tc>
        <w:tc>
          <w:tcPr>
            <w:tcW w:w="20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color w:val="000000"/>
                <w:sz w:val="20"/>
                <w:szCs w:val="21"/>
                <w:highlight w:val="yellow"/>
              </w:rPr>
            </w:pPr>
          </w:p>
        </w:tc>
        <w:tc>
          <w:tcPr>
            <w:tcW w:w="26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color w:val="000000"/>
                <w:sz w:val="20"/>
                <w:szCs w:val="21"/>
                <w:highlight w:val="yellow"/>
              </w:rPr>
            </w:pPr>
          </w:p>
        </w:tc>
        <w:tc>
          <w:tcPr>
            <w:tcW w:w="31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color w:val="000000"/>
                <w:sz w:val="2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color w:val="000000"/>
                <w:sz w:val="20"/>
                <w:szCs w:val="21"/>
                <w:highlight w:val="yellow"/>
              </w:rPr>
            </w:pPr>
          </w:p>
        </w:tc>
        <w:tc>
          <w:tcPr>
            <w:tcW w:w="26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0"/>
                <w:szCs w:val="21"/>
                <w:highlight w:val="yellow"/>
              </w:rPr>
            </w:pPr>
          </w:p>
        </w:tc>
        <w:tc>
          <w:tcPr>
            <w:tcW w:w="160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color w:val="000000"/>
                <w:sz w:val="20"/>
                <w:szCs w:val="21"/>
                <w:highlight w:val="yellow"/>
              </w:rPr>
            </w:pPr>
          </w:p>
        </w:tc>
        <w:tc>
          <w:tcPr>
            <w:tcW w:w="204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color w:val="000000"/>
                <w:sz w:val="20"/>
                <w:szCs w:val="21"/>
                <w:highlight w:val="yellow"/>
              </w:rPr>
            </w:pPr>
          </w:p>
        </w:tc>
        <w:tc>
          <w:tcPr>
            <w:tcW w:w="264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color w:val="000000"/>
                <w:sz w:val="20"/>
                <w:szCs w:val="21"/>
                <w:highlight w:val="yellow"/>
              </w:rPr>
            </w:pPr>
          </w:p>
        </w:tc>
        <w:tc>
          <w:tcPr>
            <w:tcW w:w="313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color w:val="000000"/>
                <w:sz w:val="2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color w:val="000000"/>
                <w:sz w:val="20"/>
                <w:szCs w:val="21"/>
                <w:highlight w:val="yellow"/>
              </w:rPr>
            </w:pPr>
          </w:p>
        </w:tc>
        <w:tc>
          <w:tcPr>
            <w:tcW w:w="26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0"/>
                <w:szCs w:val="21"/>
                <w:highlight w:val="yellow"/>
              </w:rPr>
            </w:pPr>
          </w:p>
        </w:tc>
        <w:tc>
          <w:tcPr>
            <w:tcW w:w="16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color w:val="000000"/>
                <w:sz w:val="20"/>
                <w:szCs w:val="21"/>
                <w:highlight w:val="yellow"/>
              </w:rPr>
            </w:pPr>
          </w:p>
        </w:tc>
        <w:tc>
          <w:tcPr>
            <w:tcW w:w="20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color w:val="000000"/>
                <w:sz w:val="20"/>
                <w:szCs w:val="21"/>
                <w:highlight w:val="yellow"/>
              </w:rPr>
            </w:pPr>
          </w:p>
        </w:tc>
        <w:tc>
          <w:tcPr>
            <w:tcW w:w="26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color w:val="000000"/>
                <w:sz w:val="20"/>
                <w:szCs w:val="21"/>
                <w:highlight w:val="yellow"/>
              </w:rPr>
            </w:pPr>
          </w:p>
        </w:tc>
        <w:tc>
          <w:tcPr>
            <w:tcW w:w="31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color w:val="000000"/>
                <w:sz w:val="20"/>
                <w:szCs w:val="21"/>
                <w:highlight w:val="yellow"/>
              </w:rPr>
            </w:pPr>
          </w:p>
        </w:tc>
      </w:tr>
    </w:tbl>
    <w:p>
      <w:pPr>
        <w:spacing w:line="4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评委签字：</w:t>
      </w:r>
    </w:p>
    <w:p>
      <w:pPr>
        <w:spacing w:line="400" w:lineRule="exact"/>
        <w:rPr>
          <w:rFonts w:ascii="仿宋" w:hAnsi="仿宋" w:eastAsia="仿宋" w:cs="宋体"/>
          <w:kern w:val="0"/>
          <w:sz w:val="24"/>
        </w:rPr>
      </w:pPr>
    </w:p>
    <w:p>
      <w:pPr>
        <w:spacing w:line="400" w:lineRule="exact"/>
        <w:rPr>
          <w:rFonts w:hint="eastAsia" w:ascii="仿宋" w:hAnsi="仿宋" w:eastAsia="仿宋" w:cs="宋体"/>
          <w:kern w:val="0"/>
          <w:sz w:val="24"/>
        </w:rPr>
      </w:pPr>
    </w:p>
    <w:p>
      <w:pPr>
        <w:spacing w:line="400" w:lineRule="exac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附件3：</w:t>
      </w:r>
    </w:p>
    <w:p>
      <w:pPr>
        <w:spacing w:line="480" w:lineRule="exact"/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val="en-US" w:eastAsia="zh-CN"/>
        </w:rPr>
        <w:t xml:space="preserve">                                           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供应商综合评分表</w:t>
      </w:r>
    </w:p>
    <w:p>
      <w:pPr>
        <w:spacing w:line="480" w:lineRule="exact"/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项目名称：园发公司评估中介机构备选库项目</w:t>
      </w:r>
    </w:p>
    <w:tbl>
      <w:tblPr>
        <w:tblStyle w:val="3"/>
        <w:tblW w:w="12880" w:type="dxa"/>
        <w:tblInd w:w="5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20"/>
        <w:gridCol w:w="2160"/>
        <w:gridCol w:w="1986"/>
        <w:gridCol w:w="1947"/>
        <w:gridCol w:w="1680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8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供应商名称</w:t>
            </w:r>
          </w:p>
        </w:tc>
        <w:tc>
          <w:tcPr>
            <w:tcW w:w="10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评分标准</w:t>
            </w:r>
          </w:p>
        </w:tc>
        <w:tc>
          <w:tcPr>
            <w:tcW w:w="8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Theme="minorEastAsia" w:hAnsiTheme="minorEastAsia" w:cstheme="minorEastAsia"/>
                <w:color w:val="000000"/>
                <w:sz w:val="18"/>
                <w:szCs w:val="21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color w:val="000000"/>
                <w:sz w:val="18"/>
                <w:szCs w:val="21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color w:val="000000"/>
                <w:sz w:val="18"/>
                <w:szCs w:val="21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color w:val="000000"/>
                <w:sz w:val="18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得分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color w:val="000000"/>
                <w:sz w:val="18"/>
                <w:szCs w:val="21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9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服务得分（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0分）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信誉得分（10分）</w:t>
            </w:r>
          </w:p>
        </w:tc>
        <w:tc>
          <w:tcPr>
            <w:tcW w:w="5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机构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资格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得分（70分）</w:t>
            </w:r>
          </w:p>
        </w:tc>
        <w:tc>
          <w:tcPr>
            <w:tcW w:w="89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cstheme="minorEastAsia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189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</w:rPr>
              <w:t>入库记录（20分）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近三年有违法违纪记录（10分）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</w:rPr>
              <w:t>专职从业人员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（30分）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机构资质（20分）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评估师数量（20分）</w:t>
            </w:r>
          </w:p>
        </w:tc>
        <w:tc>
          <w:tcPr>
            <w:tcW w:w="89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cstheme="minorEastAsia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8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</w:rPr>
              <w:t>近三年入围市级政府机关或市属国企评估机构库得10分；近三年入围省级政府机关或省属国企评估机构库得10分，同时满足前两项标准，得20分。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近三年有违法违纪记录，本项得0分；近三年无违法违纪记录，本项得10分。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</w:rPr>
              <w:t>单位专职从业人员50人以上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，得30分；21-49人，得20分；少于20人，得10分。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</w:rPr>
              <w:t>近三年证券资格类资产评估备案项目，得20分；无证券资格类资产评估备案项目，得10分。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</w:rPr>
              <w:t>资产评估师数量：8-10人及以上得20分；5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-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</w:rPr>
              <w:t>7人得10分，不足5人得0分。</w:t>
            </w:r>
          </w:p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cstheme="minorEastAsia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8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color w:val="000000"/>
                <w:sz w:val="20"/>
                <w:szCs w:val="21"/>
              </w:rPr>
            </w:pPr>
          </w:p>
        </w:tc>
        <w:tc>
          <w:tcPr>
            <w:tcW w:w="23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color w:val="000000"/>
                <w:sz w:val="20"/>
                <w:szCs w:val="21"/>
              </w:rPr>
            </w:pPr>
          </w:p>
        </w:tc>
        <w:tc>
          <w:tcPr>
            <w:tcW w:w="21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color w:val="000000"/>
                <w:sz w:val="20"/>
                <w:szCs w:val="21"/>
              </w:rPr>
            </w:pPr>
          </w:p>
        </w:tc>
        <w:tc>
          <w:tcPr>
            <w:tcW w:w="19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color w:val="000000"/>
                <w:sz w:val="20"/>
                <w:szCs w:val="21"/>
              </w:rPr>
            </w:pPr>
          </w:p>
        </w:tc>
        <w:tc>
          <w:tcPr>
            <w:tcW w:w="19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color w:val="000000"/>
                <w:sz w:val="20"/>
                <w:szCs w:val="21"/>
              </w:rPr>
            </w:pPr>
          </w:p>
        </w:tc>
        <w:tc>
          <w:tcPr>
            <w:tcW w:w="16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color w:val="000000"/>
                <w:sz w:val="20"/>
                <w:szCs w:val="21"/>
              </w:rPr>
            </w:pPr>
          </w:p>
        </w:tc>
        <w:tc>
          <w:tcPr>
            <w:tcW w:w="8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color w:val="0000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color w:val="000000"/>
                <w:sz w:val="20"/>
                <w:szCs w:val="21"/>
              </w:rPr>
            </w:pPr>
          </w:p>
        </w:tc>
        <w:tc>
          <w:tcPr>
            <w:tcW w:w="23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color w:val="000000"/>
                <w:sz w:val="20"/>
                <w:szCs w:val="21"/>
              </w:rPr>
            </w:pPr>
          </w:p>
        </w:tc>
        <w:tc>
          <w:tcPr>
            <w:tcW w:w="21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color w:val="000000"/>
                <w:sz w:val="20"/>
                <w:szCs w:val="21"/>
              </w:rPr>
            </w:pPr>
          </w:p>
        </w:tc>
        <w:tc>
          <w:tcPr>
            <w:tcW w:w="19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color w:val="000000"/>
                <w:sz w:val="20"/>
                <w:szCs w:val="21"/>
              </w:rPr>
            </w:pPr>
          </w:p>
        </w:tc>
        <w:tc>
          <w:tcPr>
            <w:tcW w:w="19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color w:val="000000"/>
                <w:sz w:val="20"/>
                <w:szCs w:val="21"/>
              </w:rPr>
            </w:pPr>
          </w:p>
        </w:tc>
        <w:tc>
          <w:tcPr>
            <w:tcW w:w="16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color w:val="000000"/>
                <w:sz w:val="20"/>
                <w:szCs w:val="21"/>
              </w:rPr>
            </w:pPr>
          </w:p>
        </w:tc>
        <w:tc>
          <w:tcPr>
            <w:tcW w:w="8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color w:val="0000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8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color w:val="000000"/>
                <w:sz w:val="20"/>
                <w:szCs w:val="21"/>
              </w:rPr>
            </w:pPr>
          </w:p>
        </w:tc>
        <w:tc>
          <w:tcPr>
            <w:tcW w:w="23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color w:val="000000"/>
                <w:sz w:val="20"/>
                <w:szCs w:val="21"/>
              </w:rPr>
            </w:pPr>
          </w:p>
        </w:tc>
        <w:tc>
          <w:tcPr>
            <w:tcW w:w="21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color w:val="000000"/>
                <w:sz w:val="20"/>
                <w:szCs w:val="21"/>
              </w:rPr>
            </w:pPr>
          </w:p>
        </w:tc>
        <w:tc>
          <w:tcPr>
            <w:tcW w:w="19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color w:val="000000"/>
                <w:sz w:val="20"/>
                <w:szCs w:val="21"/>
              </w:rPr>
            </w:pPr>
          </w:p>
        </w:tc>
        <w:tc>
          <w:tcPr>
            <w:tcW w:w="19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color w:val="000000"/>
                <w:sz w:val="20"/>
                <w:szCs w:val="21"/>
              </w:rPr>
            </w:pPr>
          </w:p>
        </w:tc>
        <w:tc>
          <w:tcPr>
            <w:tcW w:w="16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color w:val="000000"/>
                <w:sz w:val="20"/>
                <w:szCs w:val="21"/>
              </w:rPr>
            </w:pPr>
          </w:p>
        </w:tc>
        <w:tc>
          <w:tcPr>
            <w:tcW w:w="8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color w:val="000000"/>
                <w:sz w:val="20"/>
                <w:szCs w:val="21"/>
              </w:rPr>
            </w:pPr>
          </w:p>
        </w:tc>
      </w:tr>
    </w:tbl>
    <w:p>
      <w:pPr>
        <w:spacing w:line="400" w:lineRule="exact"/>
        <w:rPr>
          <w:rFonts w:hint="eastAsia"/>
        </w:rPr>
      </w:pPr>
      <w:r>
        <w:rPr>
          <w:rFonts w:hint="eastAsia" w:ascii="仿宋" w:hAnsi="仿宋" w:eastAsia="仿宋" w:cs="仿宋"/>
          <w:sz w:val="28"/>
          <w:szCs w:val="28"/>
        </w:rPr>
        <w:t>评委签字：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4108F"/>
    <w:rsid w:val="7044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2021-04-27T01:56:00Z</dcterms:created>
  <dc:creator>党委一家亲</dc:creator>
  <cp:lastModifiedBy>党委一家亲</cp:lastModifiedBy>
  <dcterms:modified xsi:type="dcterms:W3CDTF">2021-04-27T01:59:46Z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6C3217F24EF04D248B5EFE2FA5B95E71</vt:lpwstr>
  </property>
</Properties>
</file>